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3D4B2D" w:rsidP="003D4B2D">
      <w:pPr>
        <w:spacing w:line="480" w:lineRule="auto"/>
        <w:jc w:val="center"/>
        <w:rPr>
          <w:rFonts w:ascii="Times New Roman" w:hAnsi="Times New Roman" w:cs="Times New Roman"/>
          <w:sz w:val="24"/>
          <w:szCs w:val="24"/>
        </w:rPr>
      </w:pPr>
      <w:r w:rsidRPr="003D4B2D">
        <w:rPr>
          <w:rFonts w:ascii="Times New Roman" w:hAnsi="Times New Roman" w:cs="Times New Roman"/>
          <w:sz w:val="24"/>
          <w:szCs w:val="24"/>
        </w:rPr>
        <w:t>JSC BTA Bank V Khrapunov</w:t>
      </w:r>
    </w:p>
    <w:p w:rsidR="000F483F" w:rsidRPr="000F483F" w:rsidRDefault="00734D0D" w:rsidP="00E13BA1">
      <w:pPr>
        <w:spacing w:line="480" w:lineRule="auto"/>
        <w:jc w:val="center"/>
        <w:rPr>
          <w:rFonts w:ascii="Times New Roman" w:hAnsi="Times New Roman" w:cs="Times New Roman"/>
          <w:sz w:val="24"/>
          <w:szCs w:val="24"/>
        </w:rPr>
      </w:pPr>
      <w:r w:rsidRPr="000F483F">
        <w:rPr>
          <w:rFonts w:ascii="Times New Roman" w:hAnsi="Times New Roman" w:cs="Times New Roman"/>
          <w:sz w:val="24"/>
          <w:szCs w:val="24"/>
        </w:rPr>
        <w:t>Student</w:t>
      </w:r>
      <w:r w:rsidR="003D4B2D">
        <w:rPr>
          <w:rFonts w:ascii="Times New Roman" w:hAnsi="Times New Roman" w:cs="Times New Roman"/>
          <w:sz w:val="24"/>
          <w:szCs w:val="24"/>
        </w:rPr>
        <w:t>’s</w:t>
      </w:r>
      <w:r w:rsidRPr="000F483F">
        <w:rPr>
          <w:rFonts w:ascii="Times New Roman" w:hAnsi="Times New Roman" w:cs="Times New Roman"/>
          <w:sz w:val="24"/>
          <w:szCs w:val="24"/>
        </w:rPr>
        <w:t xml:space="preserve"> Name</w:t>
      </w:r>
    </w:p>
    <w:p w:rsidR="000F483F" w:rsidRDefault="00734D0D" w:rsidP="000F483F">
      <w:pPr>
        <w:spacing w:line="480" w:lineRule="auto"/>
        <w:jc w:val="center"/>
        <w:rPr>
          <w:rFonts w:ascii="Times New Roman" w:hAnsi="Times New Roman" w:cs="Times New Roman"/>
          <w:sz w:val="24"/>
          <w:szCs w:val="24"/>
        </w:rPr>
      </w:pPr>
      <w:r w:rsidRPr="000F483F">
        <w:rPr>
          <w:rFonts w:ascii="Times New Roman" w:hAnsi="Times New Roman" w:cs="Times New Roman"/>
          <w:sz w:val="24"/>
          <w:szCs w:val="24"/>
        </w:rPr>
        <w:t>Institutional Affiliation</w:t>
      </w:r>
    </w:p>
    <w:p w:rsidR="003D4B2D" w:rsidRPr="000F483F" w:rsidRDefault="003D4B2D" w:rsidP="000F483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F483F" w:rsidRPr="000F483F" w:rsidRDefault="000F483F" w:rsidP="000F483F">
      <w:pPr>
        <w:spacing w:line="480" w:lineRule="auto"/>
        <w:jc w:val="center"/>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0F483F" w:rsidRPr="000F483F" w:rsidRDefault="000F483F" w:rsidP="000F483F">
      <w:pPr>
        <w:spacing w:line="480" w:lineRule="auto"/>
        <w:rPr>
          <w:rFonts w:ascii="Times New Roman" w:hAnsi="Times New Roman" w:cs="Times New Roman"/>
          <w:sz w:val="24"/>
          <w:szCs w:val="24"/>
        </w:rPr>
      </w:pPr>
    </w:p>
    <w:p w:rsidR="00E13BA1" w:rsidRDefault="00E13BA1" w:rsidP="000F483F">
      <w:pPr>
        <w:spacing w:line="480" w:lineRule="auto"/>
        <w:rPr>
          <w:rFonts w:ascii="Times New Roman" w:hAnsi="Times New Roman" w:cs="Times New Roman"/>
          <w:sz w:val="24"/>
          <w:szCs w:val="24"/>
        </w:rPr>
      </w:pPr>
    </w:p>
    <w:p w:rsidR="003D4B2D" w:rsidRPr="003D4B2D" w:rsidRDefault="003D4B2D" w:rsidP="003D4B2D">
      <w:pPr>
        <w:spacing w:line="480" w:lineRule="auto"/>
        <w:jc w:val="center"/>
        <w:rPr>
          <w:rFonts w:ascii="Times New Roman" w:hAnsi="Times New Roman" w:cs="Times New Roman"/>
          <w:b/>
          <w:sz w:val="24"/>
          <w:szCs w:val="24"/>
        </w:rPr>
      </w:pPr>
      <w:r w:rsidRPr="003D4B2D">
        <w:rPr>
          <w:rFonts w:ascii="Times New Roman" w:hAnsi="Times New Roman" w:cs="Times New Roman"/>
          <w:b/>
          <w:sz w:val="24"/>
          <w:szCs w:val="24"/>
        </w:rPr>
        <w:t>JSC BTA Bank V Khrapunov</w:t>
      </w:r>
    </w:p>
    <w:p w:rsidR="00737874" w:rsidRPr="000F483F" w:rsidRDefault="00734D0D" w:rsidP="003D4B2D">
      <w:pPr>
        <w:spacing w:line="480" w:lineRule="auto"/>
        <w:ind w:firstLine="720"/>
        <w:rPr>
          <w:rFonts w:ascii="Times New Roman" w:hAnsi="Times New Roman" w:cs="Times New Roman"/>
          <w:sz w:val="24"/>
          <w:szCs w:val="24"/>
          <w:u w:val="single"/>
        </w:rPr>
      </w:pPr>
      <w:r w:rsidRPr="000F483F">
        <w:rPr>
          <w:rFonts w:ascii="Times New Roman" w:hAnsi="Times New Roman" w:cs="Times New Roman"/>
          <w:sz w:val="24"/>
          <w:szCs w:val="24"/>
        </w:rPr>
        <w:t xml:space="preserve">The first fact of the case, according to the court, is that a breach of a court order does not itself constitute a cause of action in private law and as such, damages are not recoverable for such </w:t>
      </w:r>
      <w:r w:rsidR="000F483F" w:rsidRPr="000F483F">
        <w:rPr>
          <w:rFonts w:ascii="Times New Roman" w:hAnsi="Times New Roman" w:cs="Times New Roman"/>
          <w:sz w:val="24"/>
          <w:szCs w:val="24"/>
        </w:rPr>
        <w:t>breach</w:t>
      </w:r>
      <w:r w:rsidRPr="000F483F">
        <w:rPr>
          <w:rFonts w:ascii="Times New Roman" w:hAnsi="Times New Roman" w:cs="Times New Roman"/>
          <w:sz w:val="24"/>
          <w:szCs w:val="24"/>
        </w:rPr>
        <w:t xml:space="preserve">. Since the bank is a private institution, then the damages caused by </w:t>
      </w:r>
      <w:r w:rsidR="000F483F" w:rsidRPr="000F483F">
        <w:rPr>
          <w:rFonts w:ascii="Times New Roman" w:hAnsi="Times New Roman" w:cs="Times New Roman"/>
          <w:sz w:val="24"/>
          <w:szCs w:val="24"/>
        </w:rPr>
        <w:t>Mr.</w:t>
      </w:r>
      <w:r w:rsidRPr="000F483F">
        <w:rPr>
          <w:rFonts w:ascii="Times New Roman" w:hAnsi="Times New Roman" w:cs="Times New Roman"/>
          <w:sz w:val="24"/>
          <w:szCs w:val="24"/>
        </w:rPr>
        <w:t xml:space="preserve"> Khrapunov was not recoverable. This </w:t>
      </w:r>
      <w:r w:rsidR="000F483F" w:rsidRPr="000F483F">
        <w:rPr>
          <w:rFonts w:ascii="Times New Roman" w:hAnsi="Times New Roman" w:cs="Times New Roman"/>
          <w:sz w:val="24"/>
          <w:szCs w:val="24"/>
        </w:rPr>
        <w:t>fact went</w:t>
      </w:r>
      <w:r w:rsidRPr="000F483F">
        <w:rPr>
          <w:rFonts w:ascii="Times New Roman" w:hAnsi="Times New Roman" w:cs="Times New Roman"/>
          <w:sz w:val="24"/>
          <w:szCs w:val="24"/>
        </w:rPr>
        <w:t xml:space="preserve"> on the side of </w:t>
      </w:r>
      <w:r w:rsidR="000F483F" w:rsidRPr="000F483F">
        <w:rPr>
          <w:rFonts w:ascii="Times New Roman" w:hAnsi="Times New Roman" w:cs="Times New Roman"/>
          <w:sz w:val="24"/>
          <w:szCs w:val="24"/>
        </w:rPr>
        <w:t>Mr.</w:t>
      </w:r>
      <w:r w:rsidRPr="000F483F">
        <w:rPr>
          <w:rFonts w:ascii="Times New Roman" w:hAnsi="Times New Roman" w:cs="Times New Roman"/>
          <w:sz w:val="24"/>
          <w:szCs w:val="24"/>
        </w:rPr>
        <w:t xml:space="preserve"> Khrapunov, and the court ruled in his </w:t>
      </w:r>
      <w:r w:rsidR="000F483F" w:rsidRPr="000F483F">
        <w:rPr>
          <w:rFonts w:ascii="Times New Roman" w:hAnsi="Times New Roman" w:cs="Times New Roman"/>
          <w:sz w:val="24"/>
          <w:szCs w:val="24"/>
        </w:rPr>
        <w:t>favor</w:t>
      </w:r>
      <w:r w:rsidRPr="000F483F">
        <w:rPr>
          <w:rFonts w:ascii="Times New Roman" w:hAnsi="Times New Roman" w:cs="Times New Roman"/>
          <w:sz w:val="24"/>
          <w:szCs w:val="24"/>
        </w:rPr>
        <w:t xml:space="preserve"> and rejected the bank's argument. This ruling was made with the House of Lords' guidance </w:t>
      </w:r>
      <w:r w:rsidR="00CC455E" w:rsidRPr="000F483F">
        <w:rPr>
          <w:rFonts w:ascii="Times New Roman" w:hAnsi="Times New Roman" w:cs="Times New Roman"/>
          <w:sz w:val="24"/>
          <w:szCs w:val="24"/>
        </w:rPr>
        <w:t>in Customs and Excise Commissioners vs. Barclays bank plc</w:t>
      </w:r>
      <w:r w:rsidR="00CC455E" w:rsidRPr="003D4B2D">
        <w:rPr>
          <w:rFonts w:ascii="Times New Roman" w:hAnsi="Times New Roman" w:cs="Times New Roman"/>
          <w:sz w:val="24"/>
          <w:szCs w:val="24"/>
        </w:rPr>
        <w:t xml:space="preserve"> [2006] UKHL 28.</w:t>
      </w:r>
    </w:p>
    <w:p w:rsidR="00CC455E" w:rsidRPr="00483C3F" w:rsidRDefault="00734D0D" w:rsidP="00483C3F">
      <w:pPr>
        <w:spacing w:line="480" w:lineRule="auto"/>
        <w:ind w:firstLine="720"/>
        <w:rPr>
          <w:rFonts w:ascii="Times New Roman" w:hAnsi="Times New Roman" w:cs="Times New Roman"/>
          <w:sz w:val="24"/>
          <w:szCs w:val="24"/>
        </w:rPr>
      </w:pPr>
      <w:r w:rsidRPr="000F483F">
        <w:rPr>
          <w:rFonts w:ascii="Times New Roman" w:hAnsi="Times New Roman" w:cs="Times New Roman"/>
          <w:sz w:val="24"/>
          <w:szCs w:val="24"/>
        </w:rPr>
        <w:t xml:space="preserve">The second fact of the case was there can be a cause of action in unlawful means conspiracy cases where the unlawful means consist of deliberate breaches of the orders. This ruled in </w:t>
      </w:r>
      <w:r w:rsidR="000F483F" w:rsidRPr="000F483F">
        <w:rPr>
          <w:rFonts w:ascii="Times New Roman" w:hAnsi="Times New Roman" w:cs="Times New Roman"/>
          <w:sz w:val="24"/>
          <w:szCs w:val="24"/>
        </w:rPr>
        <w:t>favor</w:t>
      </w:r>
      <w:r w:rsidRPr="000F483F">
        <w:rPr>
          <w:rFonts w:ascii="Times New Roman" w:hAnsi="Times New Roman" w:cs="Times New Roman"/>
          <w:sz w:val="24"/>
          <w:szCs w:val="24"/>
        </w:rPr>
        <w:t xml:space="preserve"> of the bank simply because </w:t>
      </w:r>
      <w:r w:rsidR="000F483F" w:rsidRPr="000F483F">
        <w:rPr>
          <w:rFonts w:ascii="Times New Roman" w:hAnsi="Times New Roman" w:cs="Times New Roman"/>
          <w:sz w:val="24"/>
          <w:szCs w:val="24"/>
        </w:rPr>
        <w:t>Mr.</w:t>
      </w:r>
      <w:r w:rsidRPr="000F483F">
        <w:rPr>
          <w:rFonts w:ascii="Times New Roman" w:hAnsi="Times New Roman" w:cs="Times New Roman"/>
          <w:sz w:val="24"/>
          <w:szCs w:val="24"/>
        </w:rPr>
        <w:t xml:space="preserve"> Khrapunov had breached the court orders, which was central to the House of Lords' general principles. The third fact is that the </w:t>
      </w:r>
      <w:r w:rsidR="00AA293E" w:rsidRPr="000F483F">
        <w:rPr>
          <w:rFonts w:ascii="Times New Roman" w:hAnsi="Times New Roman" w:cs="Times New Roman"/>
          <w:sz w:val="24"/>
          <w:szCs w:val="24"/>
        </w:rPr>
        <w:t xml:space="preserve">place where the harmful event occurred is where the event gives rise to direct damage. Due to the agreement made between </w:t>
      </w:r>
      <w:r w:rsidR="000F483F" w:rsidRPr="000F483F">
        <w:rPr>
          <w:rFonts w:ascii="Times New Roman" w:hAnsi="Times New Roman" w:cs="Times New Roman"/>
          <w:sz w:val="24"/>
          <w:szCs w:val="24"/>
        </w:rPr>
        <w:t>Mr.</w:t>
      </w:r>
      <w:r w:rsidR="00AA293E" w:rsidRPr="000F483F">
        <w:rPr>
          <w:rFonts w:ascii="Times New Roman" w:hAnsi="Times New Roman" w:cs="Times New Roman"/>
          <w:sz w:val="24"/>
          <w:szCs w:val="24"/>
        </w:rPr>
        <w:t xml:space="preserve"> Ablyazov and </w:t>
      </w:r>
      <w:r w:rsidR="000F483F" w:rsidRPr="000F483F">
        <w:rPr>
          <w:rFonts w:ascii="Times New Roman" w:hAnsi="Times New Roman" w:cs="Times New Roman"/>
          <w:sz w:val="24"/>
          <w:szCs w:val="24"/>
        </w:rPr>
        <w:t>Mr.</w:t>
      </w:r>
      <w:r w:rsidR="00AA293E" w:rsidRPr="000F483F">
        <w:rPr>
          <w:rFonts w:ascii="Times New Roman" w:hAnsi="Times New Roman" w:cs="Times New Roman"/>
          <w:sz w:val="24"/>
          <w:szCs w:val="24"/>
        </w:rPr>
        <w:t xml:space="preserve"> Khrapunov on the bank premises, the court ruled against </w:t>
      </w:r>
      <w:r w:rsidR="000F483F" w:rsidRPr="000F483F">
        <w:rPr>
          <w:rFonts w:ascii="Times New Roman" w:hAnsi="Times New Roman" w:cs="Times New Roman"/>
          <w:sz w:val="24"/>
          <w:szCs w:val="24"/>
        </w:rPr>
        <w:t>Mr.</w:t>
      </w:r>
      <w:r w:rsidR="00483C3F">
        <w:rPr>
          <w:rFonts w:ascii="Times New Roman" w:hAnsi="Times New Roman" w:cs="Times New Roman"/>
          <w:sz w:val="24"/>
          <w:szCs w:val="24"/>
        </w:rPr>
        <w:t xml:space="preserve"> Khrapunov</w:t>
      </w:r>
      <w:r w:rsidR="00483C3F" w:rsidRPr="00483C3F">
        <w:rPr>
          <w:rFonts w:ascii="Times New Roman" w:hAnsi="Times New Roman" w:cs="Times New Roman"/>
          <w:sz w:val="24"/>
          <w:szCs w:val="24"/>
        </w:rPr>
        <w:t xml:space="preserve"> </w:t>
      </w:r>
      <w:r w:rsidR="00483C3F">
        <w:rPr>
          <w:rFonts w:ascii="Times New Roman" w:hAnsi="Times New Roman" w:cs="Times New Roman"/>
          <w:sz w:val="24"/>
          <w:szCs w:val="24"/>
        </w:rPr>
        <w:t xml:space="preserve">(Purshouse, </w:t>
      </w:r>
      <w:r w:rsidR="00483C3F" w:rsidRPr="00483C3F">
        <w:rPr>
          <w:rFonts w:ascii="Times New Roman" w:hAnsi="Times New Roman" w:cs="Times New Roman"/>
          <w:sz w:val="24"/>
          <w:szCs w:val="24"/>
        </w:rPr>
        <w:t>2020).</w:t>
      </w:r>
    </w:p>
    <w:p w:rsidR="00E13BA1" w:rsidRDefault="00734D0D" w:rsidP="003D4B2D">
      <w:pPr>
        <w:spacing w:line="480" w:lineRule="auto"/>
        <w:ind w:firstLine="720"/>
        <w:rPr>
          <w:rFonts w:ascii="Times New Roman" w:hAnsi="Times New Roman" w:cs="Times New Roman"/>
          <w:sz w:val="24"/>
          <w:szCs w:val="24"/>
        </w:rPr>
      </w:pPr>
      <w:r w:rsidRPr="000F483F">
        <w:rPr>
          <w:rFonts w:ascii="Times New Roman" w:hAnsi="Times New Roman" w:cs="Times New Roman"/>
          <w:sz w:val="24"/>
          <w:szCs w:val="24"/>
        </w:rPr>
        <w:t xml:space="preserve">The other fact that arisen from the case is that </w:t>
      </w:r>
      <w:r w:rsidR="00C94332" w:rsidRPr="000F483F">
        <w:rPr>
          <w:rFonts w:ascii="Times New Roman" w:hAnsi="Times New Roman" w:cs="Times New Roman"/>
          <w:sz w:val="24"/>
          <w:szCs w:val="24"/>
        </w:rPr>
        <w:t xml:space="preserve">the criminal penalty for contempt provided sufficient protection to the innocent party. No private law right is engaged; this ruled in </w:t>
      </w:r>
      <w:r w:rsidR="000F483F" w:rsidRPr="000F483F">
        <w:rPr>
          <w:rFonts w:ascii="Times New Roman" w:hAnsi="Times New Roman" w:cs="Times New Roman"/>
          <w:sz w:val="24"/>
          <w:szCs w:val="24"/>
        </w:rPr>
        <w:t>favor</w:t>
      </w:r>
      <w:r w:rsidR="00C94332" w:rsidRPr="000F483F">
        <w:rPr>
          <w:rFonts w:ascii="Times New Roman" w:hAnsi="Times New Roman" w:cs="Times New Roman"/>
          <w:sz w:val="24"/>
          <w:szCs w:val="24"/>
        </w:rPr>
        <w:t xml:space="preserve"> of the bank because there were some unlawful acts committed by </w:t>
      </w:r>
      <w:r w:rsidR="000F483F" w:rsidRPr="000F483F">
        <w:rPr>
          <w:rFonts w:ascii="Times New Roman" w:hAnsi="Times New Roman" w:cs="Times New Roman"/>
          <w:sz w:val="24"/>
          <w:szCs w:val="24"/>
        </w:rPr>
        <w:t>Mr.</w:t>
      </w:r>
      <w:r w:rsidR="00C94332" w:rsidRPr="000F483F">
        <w:rPr>
          <w:rFonts w:ascii="Times New Roman" w:hAnsi="Times New Roman" w:cs="Times New Roman"/>
          <w:sz w:val="24"/>
          <w:szCs w:val="24"/>
        </w:rPr>
        <w:t xml:space="preserve"> Khrapunov of breaching the court orders. Having the facts well stated, the verdict was that the agreement held between </w:t>
      </w:r>
      <w:r w:rsidR="000F483F" w:rsidRPr="000F483F">
        <w:rPr>
          <w:rFonts w:ascii="Times New Roman" w:hAnsi="Times New Roman" w:cs="Times New Roman"/>
          <w:sz w:val="24"/>
          <w:szCs w:val="24"/>
        </w:rPr>
        <w:t>Mr.</w:t>
      </w:r>
      <w:r w:rsidR="00C94332" w:rsidRPr="000F483F">
        <w:rPr>
          <w:rFonts w:ascii="Times New Roman" w:hAnsi="Times New Roman" w:cs="Times New Roman"/>
          <w:sz w:val="24"/>
          <w:szCs w:val="24"/>
        </w:rPr>
        <w:t xml:space="preserve"> Ablyazov and </w:t>
      </w:r>
      <w:r w:rsidR="000F483F" w:rsidRPr="000F483F">
        <w:rPr>
          <w:rFonts w:ascii="Times New Roman" w:hAnsi="Times New Roman" w:cs="Times New Roman"/>
          <w:sz w:val="24"/>
          <w:szCs w:val="24"/>
        </w:rPr>
        <w:t>Mr.</w:t>
      </w:r>
      <w:r w:rsidR="00C94332" w:rsidRPr="000F483F">
        <w:rPr>
          <w:rFonts w:ascii="Times New Roman" w:hAnsi="Times New Roman" w:cs="Times New Roman"/>
          <w:sz w:val="24"/>
          <w:szCs w:val="24"/>
        </w:rPr>
        <w:t xml:space="preserve"> Khrapunov was harmful </w:t>
      </w:r>
      <w:r w:rsidR="000F483F" w:rsidRPr="000F483F">
        <w:rPr>
          <w:rFonts w:ascii="Times New Roman" w:hAnsi="Times New Roman" w:cs="Times New Roman"/>
          <w:sz w:val="24"/>
          <w:szCs w:val="24"/>
        </w:rPr>
        <w:t>and gave rise to the damage. Also, the breaching of the court orders was termed as unlawful and therefore determined the English court's jurisdiction</w:t>
      </w:r>
      <w:r w:rsidR="00483C3F" w:rsidRPr="00483C3F">
        <w:rPr>
          <w:rFonts w:ascii="Times New Roman" w:hAnsi="Times New Roman" w:cs="Times New Roman"/>
          <w:sz w:val="24"/>
          <w:szCs w:val="24"/>
        </w:rPr>
        <w:t xml:space="preserve"> </w:t>
      </w:r>
      <w:r w:rsidR="00214A0C">
        <w:rPr>
          <w:rFonts w:ascii="Times New Roman" w:hAnsi="Times New Roman" w:cs="Times New Roman"/>
          <w:sz w:val="24"/>
          <w:szCs w:val="24"/>
        </w:rPr>
        <w:t>(Lauterpacht, 2002).</w:t>
      </w:r>
      <w:r w:rsidR="000F483F" w:rsidRPr="000F483F">
        <w:rPr>
          <w:rFonts w:ascii="Times New Roman" w:hAnsi="Times New Roman" w:cs="Times New Roman"/>
          <w:sz w:val="24"/>
          <w:szCs w:val="24"/>
        </w:rPr>
        <w:t xml:space="preserve"> My opinion would be that the two went against the law, and they were to be </w:t>
      </w:r>
      <w:r w:rsidR="000F483F" w:rsidRPr="000F483F">
        <w:rPr>
          <w:rFonts w:ascii="Times New Roman" w:hAnsi="Times New Roman" w:cs="Times New Roman"/>
          <w:sz w:val="24"/>
          <w:szCs w:val="24"/>
        </w:rPr>
        <w:lastRenderedPageBreak/>
        <w:t>held accountable for their violation of the law. This is because Mr. Khrapunov helped his father in law hide the assets, which was not following the bank's terms. Also, breaching the court orders is such unlawful action.</w:t>
      </w:r>
    </w:p>
    <w:p w:rsidR="00734D0D" w:rsidRDefault="00734D0D"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483C3F" w:rsidRDefault="00483C3F" w:rsidP="00E13BA1">
      <w:pPr>
        <w:spacing w:line="480" w:lineRule="auto"/>
        <w:jc w:val="center"/>
        <w:rPr>
          <w:rFonts w:ascii="Times New Roman" w:hAnsi="Times New Roman" w:cs="Times New Roman"/>
          <w:sz w:val="24"/>
          <w:szCs w:val="24"/>
        </w:rPr>
      </w:pPr>
    </w:p>
    <w:p w:rsidR="000F483F" w:rsidRPr="00483C3F" w:rsidRDefault="00734D0D" w:rsidP="00E13BA1">
      <w:pPr>
        <w:spacing w:line="480" w:lineRule="auto"/>
        <w:jc w:val="center"/>
        <w:rPr>
          <w:rFonts w:ascii="Times New Roman" w:hAnsi="Times New Roman" w:cs="Times New Roman"/>
          <w:b/>
          <w:sz w:val="24"/>
          <w:szCs w:val="24"/>
        </w:rPr>
      </w:pPr>
      <w:r w:rsidRPr="00483C3F">
        <w:rPr>
          <w:rFonts w:ascii="Times New Roman" w:hAnsi="Times New Roman" w:cs="Times New Roman"/>
          <w:b/>
          <w:sz w:val="24"/>
          <w:szCs w:val="24"/>
        </w:rPr>
        <w:lastRenderedPageBreak/>
        <w:t>Reference</w:t>
      </w:r>
      <w:r w:rsidR="00483C3F" w:rsidRPr="00483C3F">
        <w:rPr>
          <w:rFonts w:ascii="Times New Roman" w:hAnsi="Times New Roman" w:cs="Times New Roman"/>
          <w:b/>
          <w:sz w:val="24"/>
          <w:szCs w:val="24"/>
        </w:rPr>
        <w:t>s</w:t>
      </w:r>
    </w:p>
    <w:p w:rsidR="00214A0C" w:rsidRPr="000F483F" w:rsidRDefault="00214A0C" w:rsidP="00214A0C">
      <w:pPr>
        <w:spacing w:line="480" w:lineRule="auto"/>
        <w:ind w:left="720" w:hanging="720"/>
        <w:rPr>
          <w:rFonts w:ascii="Times New Roman" w:hAnsi="Times New Roman" w:cs="Times New Roman"/>
          <w:sz w:val="24"/>
          <w:szCs w:val="24"/>
        </w:rPr>
      </w:pPr>
      <w:r w:rsidRPr="00483C3F">
        <w:rPr>
          <w:rFonts w:ascii="Times New Roman" w:hAnsi="Times New Roman" w:cs="Times New Roman"/>
          <w:sz w:val="24"/>
          <w:szCs w:val="24"/>
        </w:rPr>
        <w:t>Lauterpacht, H. (2002). Private law sources and analogies of international law: with special reference to international arbitration. The Lawbook Exchange, Ltd.</w:t>
      </w:r>
    </w:p>
    <w:p w:rsidR="00214A0C" w:rsidRDefault="00214A0C" w:rsidP="00214A0C">
      <w:pPr>
        <w:spacing w:line="480" w:lineRule="auto"/>
        <w:ind w:left="720" w:hanging="720"/>
        <w:rPr>
          <w:rFonts w:ascii="Times New Roman" w:hAnsi="Times New Roman" w:cs="Times New Roman"/>
          <w:sz w:val="24"/>
          <w:szCs w:val="24"/>
        </w:rPr>
      </w:pPr>
      <w:r w:rsidRPr="00483C3F">
        <w:rPr>
          <w:rFonts w:ascii="Times New Roman" w:hAnsi="Times New Roman" w:cs="Times New Roman"/>
          <w:sz w:val="24"/>
          <w:szCs w:val="24"/>
        </w:rPr>
        <w:t>Purshouse, C. (2020). Flourishing Under Private Law? A Critique of McBride’s Explanatory Theory. Canadian Journal of Law and Jurisprudence.</w:t>
      </w:r>
      <w:bookmarkStart w:id="0" w:name="_GoBack"/>
      <w:bookmarkEnd w:id="0"/>
    </w:p>
    <w:sectPr w:rsidR="00214A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0E5" w:rsidRDefault="009F60E5" w:rsidP="00A2050E">
      <w:pPr>
        <w:spacing w:after="0" w:line="240" w:lineRule="auto"/>
      </w:pPr>
      <w:r>
        <w:separator/>
      </w:r>
    </w:p>
  </w:endnote>
  <w:endnote w:type="continuationSeparator" w:id="0">
    <w:p w:rsidR="009F60E5" w:rsidRDefault="009F60E5" w:rsidP="00A20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0E5" w:rsidRDefault="009F60E5" w:rsidP="00A2050E">
      <w:pPr>
        <w:spacing w:after="0" w:line="240" w:lineRule="auto"/>
      </w:pPr>
      <w:r>
        <w:separator/>
      </w:r>
    </w:p>
  </w:footnote>
  <w:footnote w:type="continuationSeparator" w:id="0">
    <w:p w:rsidR="009F60E5" w:rsidRDefault="009F60E5" w:rsidP="00A20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261602"/>
      <w:docPartObj>
        <w:docPartGallery w:val="Page Numbers (Top of Page)"/>
        <w:docPartUnique/>
      </w:docPartObj>
    </w:sdtPr>
    <w:sdtEndPr>
      <w:rPr>
        <w:noProof/>
      </w:rPr>
    </w:sdtEndPr>
    <w:sdtContent>
      <w:p w:rsidR="00A2050E" w:rsidRDefault="00A2050E">
        <w:pPr>
          <w:pStyle w:val="Header"/>
          <w:jc w:val="right"/>
        </w:pPr>
        <w:r>
          <w:fldChar w:fldCharType="begin"/>
        </w:r>
        <w:r>
          <w:instrText xml:space="preserve"> PAGE   \* MERGEFORMAT </w:instrText>
        </w:r>
        <w:r>
          <w:fldChar w:fldCharType="separate"/>
        </w:r>
        <w:r w:rsidR="00214A0C">
          <w:rPr>
            <w:noProof/>
          </w:rPr>
          <w:t>4</w:t>
        </w:r>
        <w:r>
          <w:rPr>
            <w:noProof/>
          </w:rPr>
          <w:fldChar w:fldCharType="end"/>
        </w:r>
      </w:p>
    </w:sdtContent>
  </w:sdt>
  <w:p w:rsidR="00A2050E" w:rsidRDefault="00A205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75"/>
    <w:rsid w:val="000F483F"/>
    <w:rsid w:val="00214A0C"/>
    <w:rsid w:val="003D4B2D"/>
    <w:rsid w:val="00483C3F"/>
    <w:rsid w:val="00734D0D"/>
    <w:rsid w:val="00737874"/>
    <w:rsid w:val="009F60E5"/>
    <w:rsid w:val="00A2050E"/>
    <w:rsid w:val="00AA293E"/>
    <w:rsid w:val="00C32675"/>
    <w:rsid w:val="00C94332"/>
    <w:rsid w:val="00CC0226"/>
    <w:rsid w:val="00CC455E"/>
    <w:rsid w:val="00E13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E6F44"/>
  <w15:chartTrackingRefBased/>
  <w15:docId w15:val="{15879A61-555C-4BBE-A94F-F1B29EC5A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3BA1"/>
    <w:rPr>
      <w:color w:val="0563C1" w:themeColor="hyperlink"/>
      <w:u w:val="single"/>
    </w:rPr>
  </w:style>
  <w:style w:type="paragraph" w:styleId="Header">
    <w:name w:val="header"/>
    <w:basedOn w:val="Normal"/>
    <w:link w:val="HeaderChar"/>
    <w:uiPriority w:val="99"/>
    <w:unhideWhenUsed/>
    <w:rsid w:val="00A20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50E"/>
  </w:style>
  <w:style w:type="paragraph" w:styleId="Footer">
    <w:name w:val="footer"/>
    <w:basedOn w:val="Normal"/>
    <w:link w:val="FooterChar"/>
    <w:uiPriority w:val="99"/>
    <w:unhideWhenUsed/>
    <w:rsid w:val="00A20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2020-11-02T00:08:00Z</dcterms:created>
  <dcterms:modified xsi:type="dcterms:W3CDTF">2020-11-02T00:22:00Z</dcterms:modified>
</cp:coreProperties>
</file>